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jc w:val="center"/>
        <w:rPr>
          <w:noProof/>
          <w:lang w:eastAsia="fr-BE"/>
        </w:rPr>
      </w:pPr>
    </w:p>
    <w:p>
      <w:pPr>
        <w:spacing w:after="0" w:line="240" w:lineRule="auto"/>
        <w:jc w:val="center"/>
        <w:rPr>
          <w:noProof/>
          <w:lang w:eastAsia="fr-BE"/>
        </w:rPr>
      </w:pPr>
    </w:p>
    <w:p>
      <w:pPr>
        <w:spacing w:after="0" w:line="240" w:lineRule="auto"/>
        <w:jc w:val="center"/>
        <w:rPr>
          <w:noProof/>
          <w:lang w:eastAsia="fr-BE"/>
        </w:rPr>
      </w:pPr>
    </w:p>
    <w:p>
      <w:pPr>
        <w:spacing w:after="0" w:line="240" w:lineRule="auto"/>
        <w:jc w:val="center"/>
        <w:rPr>
          <w:noProof/>
          <w:lang w:eastAsia="fr-BE"/>
        </w:rPr>
      </w:pPr>
      <w:r>
        <w:rPr>
          <w:noProof/>
          <w:lang w:eastAsia="fr-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cid:image002.png@01D05C28.A11EEC70" style="width:112pt;height:35.5pt;visibility:visible">
            <v:imagedata r:id="rId7" o:title="image002"/>
          </v:shape>
        </w:pict>
      </w:r>
    </w:p>
    <w:p>
      <w:pPr>
        <w:spacing w:after="0" w:line="240" w:lineRule="auto"/>
        <w:rPr>
          <w:rFonts w:cs="Calibri"/>
          <w:b/>
          <w:sz w:val="12"/>
          <w:szCs w:val="12"/>
        </w:rPr>
      </w:pPr>
    </w:p>
    <w:p>
      <w:pPr>
        <w:spacing w:after="0" w:line="240" w:lineRule="auto"/>
        <w:jc w:val="center"/>
        <w:rPr>
          <w:rFonts w:cs="Calibri"/>
          <w:b/>
          <w:sz w:val="24"/>
          <w:szCs w:val="24"/>
        </w:rPr>
      </w:pPr>
      <w:r>
        <w:rPr>
          <w:rFonts w:cs="Calibri"/>
          <w:b/>
          <w:sz w:val="24"/>
          <w:szCs w:val="24"/>
        </w:rPr>
        <w:t>Ministère de la Fédération Wallonie-Bruxelles</w:t>
      </w:r>
    </w:p>
    <w:p>
      <w:pPr>
        <w:spacing w:before="60" w:after="0" w:line="240" w:lineRule="auto"/>
        <w:jc w:val="center"/>
        <w:rPr>
          <w:rFonts w:cs="Calibri"/>
          <w:b/>
          <w:sz w:val="20"/>
          <w:szCs w:val="20"/>
        </w:rPr>
      </w:pPr>
      <w:r>
        <w:rPr>
          <w:rFonts w:cs="Calibri"/>
          <w:b/>
          <w:sz w:val="20"/>
          <w:szCs w:val="20"/>
        </w:rPr>
        <w:t>Administration générale de l’Enseignement</w:t>
      </w:r>
    </w:p>
    <w:p>
      <w:pPr>
        <w:spacing w:before="60" w:after="0" w:line="240" w:lineRule="auto"/>
        <w:jc w:val="center"/>
        <w:rPr>
          <w:rFonts w:cs="Calibri"/>
          <w:b/>
          <w:sz w:val="20"/>
          <w:szCs w:val="20"/>
        </w:rPr>
      </w:pPr>
      <w:r>
        <w:rPr>
          <w:rFonts w:cs="Calibri"/>
          <w:b/>
          <w:sz w:val="20"/>
          <w:szCs w:val="20"/>
        </w:rPr>
        <w:t>Direction générale des personnels de l’enseignement subventionné</w:t>
      </w:r>
    </w:p>
    <w:p>
      <w:pPr>
        <w:spacing w:before="120" w:after="240" w:line="240" w:lineRule="auto"/>
        <w:jc w:val="center"/>
        <w:rPr>
          <w:rFonts w:cs="Calibri"/>
          <w:b/>
          <w:sz w:val="20"/>
          <w:szCs w:val="20"/>
        </w:rPr>
      </w:pPr>
      <w:r>
        <w:rPr>
          <w:rFonts w:cs="Calibri"/>
          <w:b/>
          <w:sz w:val="20"/>
          <w:szCs w:val="20"/>
        </w:rPr>
        <w:t>Enseignement supérieur – Hautes Ecoles</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6"/>
      </w:tblGrid>
      <w:tr>
        <w:tc>
          <w:tcPr>
            <w:tcW w:w="10206" w:type="dxa"/>
            <w:shd w:val="clear" w:color="auto" w:fill="auto"/>
          </w:tcPr>
          <w:p>
            <w:pPr>
              <w:spacing w:after="0" w:line="240" w:lineRule="auto"/>
              <w:jc w:val="center"/>
              <w:rPr>
                <w:b/>
                <w:smallCaps/>
                <w:sz w:val="40"/>
                <w:szCs w:val="40"/>
              </w:rPr>
            </w:pPr>
            <w:r>
              <w:rPr>
                <w:b/>
                <w:smallCaps/>
                <w:sz w:val="40"/>
                <w:szCs w:val="40"/>
              </w:rPr>
              <w:t xml:space="preserve">Accident hors service </w:t>
            </w:r>
          </w:p>
          <w:p>
            <w:pPr>
              <w:spacing w:before="60" w:after="120" w:line="240" w:lineRule="auto"/>
              <w:jc w:val="center"/>
              <w:rPr>
                <w:b/>
                <w:smallCaps/>
                <w:sz w:val="32"/>
                <w:szCs w:val="32"/>
              </w:rPr>
            </w:pPr>
            <w:r>
              <w:rPr>
                <w:b/>
                <w:smallCaps/>
                <w:sz w:val="32"/>
                <w:szCs w:val="32"/>
              </w:rPr>
              <w:t>Formulaire B : Recours subrogatoire</w:t>
            </w:r>
          </w:p>
        </w:tc>
      </w:tr>
    </w:tbl>
    <w:p>
      <w:pPr>
        <w:tabs>
          <w:tab w:val="left" w:pos="1134"/>
        </w:tabs>
        <w:spacing w:before="120" w:after="0" w:line="240" w:lineRule="auto"/>
        <w:ind w:left="142"/>
        <w:rPr>
          <w:rFonts w:eastAsia="Times New Roman" w:cs="Calibri"/>
          <w:b/>
          <w:smallCaps/>
          <w:sz w:val="20"/>
          <w:szCs w:val="20"/>
          <w:lang w:eastAsia="fr-FR"/>
        </w:rPr>
      </w:pPr>
    </w:p>
    <w:p>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domicilié(</w:t>
      </w:r>
      <w:proofErr w:type="gramEnd"/>
      <w:r>
        <w:rPr>
          <w:rFonts w:eastAsia="Times New Roman" w:cs="Calibri"/>
          <w:b/>
          <w:sz w:val="20"/>
          <w:szCs w:val="20"/>
          <w:lang w:val="fr-FR" w:eastAsia="fr-FR"/>
        </w:rPr>
        <w:t>e) à :</w:t>
      </w:r>
      <w:r>
        <w:rPr>
          <w:rFonts w:eastAsia="Times New Roman" w:cs="Calibri"/>
          <w:sz w:val="20"/>
          <w:szCs w:val="20"/>
          <w:lang w:val="fr-FR" w:eastAsia="fr-FR"/>
        </w:rPr>
        <w:t xml:space="preserve"> ………………………………………………………………………………………………………………………………………………………………………….</w:t>
      </w:r>
    </w:p>
    <w:p>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pPr>
        <w:tabs>
          <w:tab w:val="left" w:pos="1134"/>
        </w:tabs>
        <w:spacing w:before="120" w:after="120" w:line="240" w:lineRule="auto"/>
        <w:ind w:left="284"/>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w:t>
      </w:r>
      <w:proofErr w:type="gramStart"/>
      <w:r>
        <w:rPr>
          <w:rFonts w:eastAsia="Times New Roman" w:cs="Calibri"/>
          <w:sz w:val="20"/>
          <w:szCs w:val="20"/>
          <w:lang w:val="fr-FR" w:eastAsia="fr-FR"/>
        </w:rPr>
        <w:t>des</w:t>
      </w:r>
      <w:proofErr w:type="gramEnd"/>
      <w:r>
        <w:rPr>
          <w:rFonts w:eastAsia="Times New Roman" w:cs="Calibri"/>
          <w:sz w:val="20"/>
          <w:szCs w:val="20"/>
          <w:lang w:val="fr-FR" w:eastAsia="fr-FR"/>
        </w:rPr>
        <w:t>) responsable(s) de l’accident, pour la période de mon absence de service résultant de mon incapacité de travail consécutive à cet 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proofErr w:type="gramStart"/>
      <w:r>
        <w:rPr>
          <w:rFonts w:eastAsia="Times New Roman" w:cs="Calibri"/>
          <w:b/>
          <w:sz w:val="20"/>
          <w:szCs w:val="20"/>
          <w:lang w:val="fr-FR" w:eastAsia="fr-FR"/>
        </w:rPr>
        <w:t>:</w:t>
      </w:r>
      <w:r>
        <w:rPr>
          <w:rFonts w:eastAsia="Times New Roman" w:cs="Calibri"/>
          <w:sz w:val="20"/>
          <w:szCs w:val="20"/>
          <w:lang w:val="fr-FR" w:eastAsia="fr-FR"/>
        </w:rPr>
        <w:t xml:space="preserve">  _</w:t>
      </w:r>
      <w:proofErr w:type="gramEnd"/>
      <w:r>
        <w:rPr>
          <w:rFonts w:eastAsia="Times New Roman" w:cs="Calibri"/>
          <w:sz w:val="20"/>
          <w:szCs w:val="20"/>
          <w:lang w:val="fr-FR" w:eastAsia="fr-FR"/>
        </w:rPr>
        <w:t xml:space="preserve"> _  /  _ _  /  _ _ _ _</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pPr>
        <w:tabs>
          <w:tab w:val="left" w:pos="1134"/>
        </w:tabs>
        <w:spacing w:before="120" w:after="0" w:line="240" w:lineRule="auto"/>
        <w:ind w:left="142"/>
        <w:rPr>
          <w:rFonts w:eastAsia="Times New Roman" w:cs="Calibri"/>
          <w:b/>
          <w:smallCaps/>
          <w:sz w:val="20"/>
          <w:szCs w:val="20"/>
          <w:lang w:eastAsia="fr-FR"/>
        </w:rPr>
      </w:pPr>
      <w:bookmarkStart w:id="0" w:name="_GoBack"/>
      <w:bookmarkEnd w:id="0"/>
    </w:p>
    <w:sectPr>
      <w:headerReference w:type="default" r:id="rId8"/>
      <w:footerReference w:type="default" r:id="rId9"/>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tabs>
        <w:tab w:val="clear" w:pos="4536"/>
        <w:tab w:val="clear" w:pos="9072"/>
        <w:tab w:val="center" w:pos="5233"/>
        <w:tab w:val="right" w:pos="10466"/>
      </w:tabs>
    </w:pPr>
    <w:r>
      <w:tab/>
    </w:r>
    <w:r>
      <w:rPr>
        <w:rFonts w:asciiTheme="minorHAnsi" w:hAnsiTheme="minorHAnsi" w:cstheme="minorHAnsi"/>
        <w:b/>
        <w:sz w:val="20"/>
        <w:szCs w:val="20"/>
      </w:rPr>
      <w:t>Annexe 25 – AS 2022-202</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Pr>
        <w:b/>
        <w:bCs/>
        <w:noProof/>
        <w:sz w:val="16"/>
        <w:szCs w:val="16"/>
        <w:lang w:val="fr-FR"/>
      </w:rPr>
      <w:t>1</w:t>
    </w:r>
    <w:r>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052FD52A-E2E9-4DF0-9BF7-9161937C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370</Words>
  <Characters>2037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COLIN Sybille</cp:lastModifiedBy>
  <cp:revision>2</cp:revision>
  <cp:lastPrinted>2019-04-17T11:47:00Z</cp:lastPrinted>
  <dcterms:created xsi:type="dcterms:W3CDTF">2022-04-20T12:36:00Z</dcterms:created>
  <dcterms:modified xsi:type="dcterms:W3CDTF">2022-04-20T12:36:00Z</dcterms:modified>
</cp:coreProperties>
</file>